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84bis</w:t>
      </w:r>
      <w:r w:rsidRPr="00446F9D">
        <w:tab/>
        <w:t>R1-</w:t>
      </w:r>
      <w:r w:rsidR="00E96D51">
        <w:t>163215</w:t>
      </w:r>
    </w:p>
    <w:p w:rsidR="00FE5799" w:rsidRPr="000833FA" w:rsidRDefault="00FE5799" w:rsidP="00FE5799">
      <w:pPr>
        <w:pStyle w:val="Header"/>
        <w:rPr>
          <w:color w:val="000000"/>
        </w:rPr>
      </w:pPr>
      <w:r>
        <w:t>Busan</w:t>
      </w:r>
      <w:r w:rsidRPr="000833FA">
        <w:t xml:space="preserve">, </w:t>
      </w:r>
      <w:r>
        <w:t>South Korea</w:t>
      </w:r>
      <w:r w:rsidRPr="000833FA">
        <w:t>,</w:t>
      </w:r>
      <w:r>
        <w:t xml:space="preserve"> April 11 – 15,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7763D0">
        <w:t xml:space="preserve">Overview of </w:t>
      </w:r>
      <w:r w:rsidR="00E96D51">
        <w:t>NR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E33277">
        <w:t>8.1.1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D64311" w:rsidP="00FE5799">
      <w:pPr>
        <w:pStyle w:val="Heading1"/>
      </w:pPr>
      <w:r>
        <w:t>Introduction</w:t>
      </w:r>
    </w:p>
    <w:p w:rsidR="00420802" w:rsidRDefault="00420802" w:rsidP="00420802">
      <w:pPr>
        <w:pStyle w:val="BodyText"/>
      </w:pPr>
      <w:r>
        <w:t>In the following we summarize some of our views on the new 5G RAT. Additional details can be found in related contributions.</w:t>
      </w:r>
    </w:p>
    <w:p w:rsidR="00D7691A" w:rsidRDefault="007763D0" w:rsidP="00D7691A">
      <w:pPr>
        <w:pStyle w:val="Heading1"/>
      </w:pPr>
      <w:r>
        <w:t>Overview</w:t>
      </w:r>
    </w:p>
    <w:p w:rsidR="007763D0" w:rsidRDefault="00420802" w:rsidP="007763D0">
      <w:pPr>
        <w:pStyle w:val="BodyText"/>
      </w:pPr>
      <w:r>
        <w:t>Characteristics of the new 5G RAT include:</w:t>
      </w:r>
    </w:p>
    <w:p w:rsidR="007763D0" w:rsidRDefault="007763D0" w:rsidP="007763D0">
      <w:pPr>
        <w:pStyle w:val="BodyText"/>
        <w:numPr>
          <w:ilvl w:val="0"/>
          <w:numId w:val="6"/>
        </w:numPr>
      </w:pPr>
      <w:r w:rsidRPr="007763D0">
        <w:rPr>
          <w:b/>
        </w:rPr>
        <w:t>Forward compatibility</w:t>
      </w:r>
      <w:r>
        <w:t xml:space="preserve"> to be prepared for new </w:t>
      </w:r>
      <w:r w:rsidR="00827A02">
        <w:t xml:space="preserve">use cases </w:t>
      </w:r>
      <w:r>
        <w:t>is essential.</w:t>
      </w:r>
    </w:p>
    <w:p w:rsidR="00C91398" w:rsidRDefault="00C91398" w:rsidP="00C91398">
      <w:pPr>
        <w:pStyle w:val="BodyText"/>
        <w:numPr>
          <w:ilvl w:val="1"/>
          <w:numId w:val="6"/>
        </w:numPr>
      </w:pPr>
      <w:r>
        <w:t xml:space="preserve">The first release of the new radio access is likely to primarily focus on </w:t>
      </w:r>
      <w:proofErr w:type="spellStart"/>
      <w:r>
        <w:t>eMBB</w:t>
      </w:r>
      <w:proofErr w:type="spellEnd"/>
      <w:r>
        <w:t>.</w:t>
      </w:r>
    </w:p>
    <w:p w:rsidR="00C91398" w:rsidRDefault="00C91398" w:rsidP="00C91398">
      <w:pPr>
        <w:pStyle w:val="BodyText"/>
        <w:numPr>
          <w:ilvl w:val="1"/>
          <w:numId w:val="6"/>
        </w:numPr>
      </w:pPr>
      <w:r>
        <w:t>Very important to take other use cases such as URLLC and massive MTC into account and ensure these can be efficiently supported in later releases.</w:t>
      </w:r>
    </w:p>
    <w:p w:rsidR="00C91398" w:rsidRDefault="007763D0" w:rsidP="00827A02">
      <w:pPr>
        <w:pStyle w:val="BodyText"/>
        <w:numPr>
          <w:ilvl w:val="0"/>
          <w:numId w:val="6"/>
        </w:numPr>
      </w:pPr>
      <w:r w:rsidRPr="007763D0">
        <w:rPr>
          <w:b/>
        </w:rPr>
        <w:t>Ultra-lean transmission</w:t>
      </w:r>
      <w:r w:rsidR="006155E6">
        <w:t xml:space="preserve"> </w:t>
      </w:r>
      <w:r>
        <w:t>to ensure forward compatibility and allow for low energy consumption on the network-</w:t>
      </w:r>
      <w:proofErr w:type="gramStart"/>
      <w:r>
        <w:t>side</w:t>
      </w:r>
      <w:r w:rsidR="00C91398">
        <w:t xml:space="preserve">  </w:t>
      </w:r>
      <w:proofErr w:type="gramEnd"/>
      <w:r w:rsidR="00C91398">
        <w:fldChar w:fldCharType="begin"/>
      </w:r>
      <w:r w:rsidR="00C91398">
        <w:instrText xml:space="preserve"> REF _Ref446442730 \r \h </w:instrText>
      </w:r>
      <w:r w:rsidR="00C91398">
        <w:fldChar w:fldCharType="separate"/>
      </w:r>
      <w:r w:rsidR="00C91398">
        <w:t>[1]</w:t>
      </w:r>
      <w:r w:rsidR="00C91398">
        <w:fldChar w:fldCharType="end"/>
      </w:r>
      <w:r>
        <w:t xml:space="preserve">. </w:t>
      </w:r>
    </w:p>
    <w:p w:rsidR="00827A02" w:rsidRDefault="00C91398" w:rsidP="00C91398">
      <w:pPr>
        <w:pStyle w:val="BodyText"/>
        <w:numPr>
          <w:ilvl w:val="1"/>
          <w:numId w:val="6"/>
        </w:numPr>
      </w:pPr>
      <w:r>
        <w:t xml:space="preserve">“Stay-in-the-box” to avoid spreading transmissions across the </w:t>
      </w:r>
      <w:proofErr w:type="spellStart"/>
      <w:r>
        <w:t>resrouce</w:t>
      </w:r>
      <w:proofErr w:type="spellEnd"/>
      <w:r>
        <w:t xml:space="preserve"> space.</w:t>
      </w:r>
    </w:p>
    <w:p w:rsidR="00C91398" w:rsidRDefault="00C91398" w:rsidP="00C91398">
      <w:pPr>
        <w:pStyle w:val="BodyText"/>
        <w:numPr>
          <w:ilvl w:val="1"/>
          <w:numId w:val="6"/>
        </w:numPr>
      </w:pPr>
      <w:r>
        <w:t>Avoid fixed inter-subframe timing relations.</w:t>
      </w:r>
    </w:p>
    <w:p w:rsidR="00C91398" w:rsidRDefault="00C91398" w:rsidP="00C91398">
      <w:pPr>
        <w:pStyle w:val="BodyText"/>
        <w:numPr>
          <w:ilvl w:val="1"/>
          <w:numId w:val="6"/>
        </w:numPr>
      </w:pPr>
      <w:r>
        <w:t xml:space="preserve">Self-contained transmissions as a baseline where </w:t>
      </w:r>
      <w:r w:rsidRPr="00C91398">
        <w:t>data (and control) transmissions have, e.g. their own reference signals.</w:t>
      </w:r>
      <w:r>
        <w:t xml:space="preserve"> Reuse the QCL framework to </w:t>
      </w:r>
      <w:r w:rsidR="00927E65">
        <w:t xml:space="preserve">define how and what assumptions </w:t>
      </w:r>
      <w:proofErr w:type="gramStart"/>
      <w:r w:rsidR="00927E65">
        <w:t>the</w:t>
      </w:r>
      <w:proofErr w:type="gramEnd"/>
      <w:r w:rsidR="00927E65">
        <w:t xml:space="preserve"> terminal may make on reference signals across </w:t>
      </w:r>
      <w:proofErr w:type="spellStart"/>
      <w:r w:rsidR="00927E65">
        <w:t>tiem</w:t>
      </w:r>
      <w:proofErr w:type="spellEnd"/>
      <w:r w:rsidR="00927E65">
        <w:t xml:space="preserve"> and antenna ports. </w:t>
      </w:r>
    </w:p>
    <w:p w:rsidR="00827A02" w:rsidRPr="00827A02" w:rsidRDefault="00827A02" w:rsidP="007E7784">
      <w:pPr>
        <w:pStyle w:val="BodyText"/>
        <w:numPr>
          <w:ilvl w:val="0"/>
          <w:numId w:val="6"/>
        </w:numPr>
      </w:pPr>
      <w:r>
        <w:t>Waveform</w:t>
      </w:r>
    </w:p>
    <w:p w:rsidR="00827A02" w:rsidRDefault="006155E6" w:rsidP="00827A02">
      <w:pPr>
        <w:pStyle w:val="BodyText"/>
        <w:numPr>
          <w:ilvl w:val="1"/>
          <w:numId w:val="6"/>
        </w:numPr>
      </w:pPr>
      <w:r w:rsidRPr="006155E6">
        <w:rPr>
          <w:b/>
        </w:rPr>
        <w:t>OFDM</w:t>
      </w:r>
      <w:r>
        <w:t xml:space="preserve"> as the basic waveform in line with the RAN study item description </w:t>
      </w:r>
      <w:r>
        <w:fldChar w:fldCharType="begin"/>
      </w:r>
      <w:r>
        <w:instrText xml:space="preserve"> REF _Ref446442932 \r \h </w:instrText>
      </w:r>
      <w:r>
        <w:fldChar w:fldCharType="separate"/>
      </w:r>
      <w:r>
        <w:t>[2]</w:t>
      </w:r>
      <w:r>
        <w:fldChar w:fldCharType="end"/>
      </w:r>
      <w:r>
        <w:t>. The same waveform is used in both uplink and downlink</w:t>
      </w:r>
      <w:r w:rsidR="007E7784">
        <w:t xml:space="preserve">. </w:t>
      </w:r>
    </w:p>
    <w:p w:rsidR="007E7784" w:rsidRDefault="00827A02" w:rsidP="00827A02">
      <w:pPr>
        <w:pStyle w:val="BodyText"/>
        <w:numPr>
          <w:ilvl w:val="1"/>
          <w:numId w:val="6"/>
        </w:numPr>
      </w:pPr>
      <w:r>
        <w:rPr>
          <w:b/>
        </w:rPr>
        <w:t>S</w:t>
      </w:r>
      <w:r w:rsidR="006155E6" w:rsidRPr="007E7784">
        <w:rPr>
          <w:b/>
        </w:rPr>
        <w:t>calable numerology</w:t>
      </w:r>
      <w:r w:rsidR="006155E6">
        <w:t xml:space="preserve"> with a subcarrier spacing of 15 </w:t>
      </w:r>
      <w:proofErr w:type="gramStart"/>
      <w:r w:rsidR="006155E6">
        <w:t>kHz</w:t>
      </w:r>
      <w:proofErr w:type="gramEnd"/>
      <w:r w:rsidR="006155E6">
        <w:t xml:space="preserve"> and multiples thereof as described in </w:t>
      </w:r>
      <w:r w:rsidR="007E7784">
        <w:fldChar w:fldCharType="begin"/>
      </w:r>
      <w:r w:rsidR="007E7784">
        <w:instrText xml:space="preserve"> REF _Ref446443145 \r \h </w:instrText>
      </w:r>
      <w:r w:rsidR="007E7784">
        <w:fldChar w:fldCharType="separate"/>
      </w:r>
      <w:r w:rsidR="007E7784">
        <w:t>[3]</w:t>
      </w:r>
      <w:r w:rsidR="007E7784">
        <w:fldChar w:fldCharType="end"/>
      </w:r>
      <w:r w:rsidR="007E7784">
        <w:t>.</w:t>
      </w:r>
    </w:p>
    <w:p w:rsidR="00827A02" w:rsidRPr="00827A02" w:rsidRDefault="00827A02" w:rsidP="00827A02">
      <w:pPr>
        <w:pStyle w:val="BodyText"/>
        <w:numPr>
          <w:ilvl w:val="0"/>
          <w:numId w:val="6"/>
        </w:numPr>
      </w:pPr>
      <w:r w:rsidRPr="00827A02">
        <w:t>Frame structure</w:t>
      </w:r>
    </w:p>
    <w:p w:rsidR="00827A02" w:rsidRDefault="00827A02" w:rsidP="00827A02">
      <w:pPr>
        <w:pStyle w:val="BodyText"/>
        <w:numPr>
          <w:ilvl w:val="1"/>
          <w:numId w:val="6"/>
        </w:numPr>
      </w:pPr>
      <w:r w:rsidRPr="00827A02">
        <w:rPr>
          <w:b/>
        </w:rPr>
        <w:t>S</w:t>
      </w:r>
      <w:r w:rsidR="007E7784" w:rsidRPr="00827A02">
        <w:rPr>
          <w:b/>
        </w:rPr>
        <w:t>hort subframe duration</w:t>
      </w:r>
      <w:r w:rsidR="007E7784">
        <w:t xml:space="preserve"> </w:t>
      </w:r>
      <w:r w:rsidR="00487009">
        <w:t>to enable low latency</w:t>
      </w:r>
      <w:r w:rsidR="00796E2D">
        <w:t xml:space="preserve"> </w:t>
      </w:r>
      <w:r w:rsidR="00796E2D">
        <w:fldChar w:fldCharType="begin"/>
      </w:r>
      <w:r w:rsidR="00796E2D">
        <w:instrText xml:space="preserve"> REF _Ref446444298 \r \h </w:instrText>
      </w:r>
      <w:r w:rsidR="00796E2D">
        <w:fldChar w:fldCharType="separate"/>
      </w:r>
      <w:r w:rsidR="00796E2D">
        <w:t>[4]</w:t>
      </w:r>
      <w:r w:rsidR="00796E2D">
        <w:fldChar w:fldCharType="end"/>
      </w:r>
    </w:p>
    <w:p w:rsidR="00796E2D" w:rsidRDefault="00796E2D" w:rsidP="00827A02">
      <w:pPr>
        <w:pStyle w:val="BodyText"/>
        <w:numPr>
          <w:ilvl w:val="1"/>
          <w:numId w:val="6"/>
        </w:numPr>
      </w:pPr>
      <w:r>
        <w:rPr>
          <w:b/>
        </w:rPr>
        <w:t>Subframe aggregation</w:t>
      </w:r>
      <w:r>
        <w:t xml:space="preserve"> (on dynamic basis) for services with less stringent latency requirements.</w:t>
      </w:r>
    </w:p>
    <w:p w:rsidR="007E7784" w:rsidRDefault="00827A02" w:rsidP="00827A02">
      <w:pPr>
        <w:pStyle w:val="BodyText"/>
        <w:numPr>
          <w:ilvl w:val="1"/>
          <w:numId w:val="6"/>
        </w:numPr>
      </w:pPr>
      <w:r>
        <w:t>C</w:t>
      </w:r>
      <w:r w:rsidR="007E7784">
        <w:t xml:space="preserve">ontrol </w:t>
      </w:r>
      <w:r>
        <w:t>signaling and reference sig</w:t>
      </w:r>
      <w:r w:rsidR="007E7784">
        <w:t>n</w:t>
      </w:r>
      <w:r>
        <w:t>a</w:t>
      </w:r>
      <w:r w:rsidR="007E7784">
        <w:t xml:space="preserve">ls </w:t>
      </w:r>
      <w:r>
        <w:t xml:space="preserve">early in the subframe to enable </w:t>
      </w:r>
      <w:r w:rsidRPr="00827A02">
        <w:rPr>
          <w:b/>
        </w:rPr>
        <w:t>on-the-fly decoding</w:t>
      </w:r>
      <w:r>
        <w:t xml:space="preserve"> and low latency. </w:t>
      </w:r>
    </w:p>
    <w:p w:rsidR="0012759D" w:rsidRDefault="0012759D" w:rsidP="0012759D">
      <w:pPr>
        <w:pStyle w:val="BodyText"/>
        <w:numPr>
          <w:ilvl w:val="1"/>
          <w:numId w:val="6"/>
        </w:numPr>
      </w:pPr>
      <w:r>
        <w:rPr>
          <w:b/>
        </w:rPr>
        <w:t>Dynamic TDD</w:t>
      </w:r>
      <w:r>
        <w:t xml:space="preserve"> where </w:t>
      </w:r>
      <w:r w:rsidRPr="0012759D">
        <w:t>the parts of a subframe carrying data can be dynamically assigned to uplink or downlink as part of the scheduling decision</w:t>
      </w:r>
      <w:r>
        <w:t xml:space="preserve"> </w:t>
      </w:r>
      <w:r>
        <w:fldChar w:fldCharType="begin"/>
      </w:r>
      <w:r>
        <w:instrText xml:space="preserve"> REF _Ref446446825 \r \h </w:instrText>
      </w:r>
      <w:r>
        <w:fldChar w:fldCharType="separate"/>
      </w:r>
      <w:r>
        <w:t>[7]</w:t>
      </w:r>
      <w:r>
        <w:fldChar w:fldCharType="end"/>
      </w:r>
      <w:r>
        <w:t>.</w:t>
      </w:r>
    </w:p>
    <w:p w:rsidR="00E015AC" w:rsidRDefault="00E015AC" w:rsidP="00827A02">
      <w:pPr>
        <w:pStyle w:val="BodyText"/>
        <w:numPr>
          <w:ilvl w:val="1"/>
          <w:numId w:val="6"/>
        </w:numPr>
      </w:pPr>
      <w:r>
        <w:t>Possibility for rapid hybrid-ARQ acknowledgement within the same subframe</w:t>
      </w:r>
      <w:r w:rsidR="003A52AB">
        <w:t xml:space="preserve"> </w:t>
      </w:r>
      <w:r w:rsidR="003A52AB">
        <w:fldChar w:fldCharType="begin"/>
      </w:r>
      <w:r w:rsidR="003A52AB">
        <w:instrText xml:space="preserve"> REF _Ref446445985 \r \h </w:instrText>
      </w:r>
      <w:r w:rsidR="003A52AB">
        <w:fldChar w:fldCharType="separate"/>
      </w:r>
      <w:r w:rsidR="003A52AB">
        <w:t>[10]</w:t>
      </w:r>
      <w:r w:rsidR="003A52AB">
        <w:fldChar w:fldCharType="end"/>
      </w:r>
    </w:p>
    <w:p w:rsidR="003A52AB" w:rsidRDefault="003A52AB" w:rsidP="00827A02">
      <w:pPr>
        <w:pStyle w:val="BodyText"/>
        <w:numPr>
          <w:ilvl w:val="1"/>
          <w:numId w:val="6"/>
        </w:numPr>
      </w:pPr>
      <w:r>
        <w:t xml:space="preserve">Possibility for coexistence with TD-LTE </w:t>
      </w:r>
      <w:r>
        <w:fldChar w:fldCharType="begin"/>
      </w:r>
      <w:r>
        <w:instrText xml:space="preserve"> REF _Ref446445985 \r \h </w:instrText>
      </w:r>
      <w:r>
        <w:fldChar w:fldCharType="separate"/>
      </w:r>
      <w:r>
        <w:t>[10]</w:t>
      </w:r>
      <w:r>
        <w:fldChar w:fldCharType="end"/>
      </w:r>
    </w:p>
    <w:p w:rsidR="00796E2D" w:rsidRDefault="00796E2D" w:rsidP="00796E2D">
      <w:pPr>
        <w:pStyle w:val="BodyText"/>
        <w:numPr>
          <w:ilvl w:val="0"/>
          <w:numId w:val="6"/>
        </w:numPr>
      </w:pPr>
      <w:r>
        <w:t>Multi-antenna techniques</w:t>
      </w:r>
    </w:p>
    <w:p w:rsidR="00796E2D" w:rsidRDefault="00796E2D" w:rsidP="00796E2D">
      <w:pPr>
        <w:pStyle w:val="BodyText"/>
        <w:numPr>
          <w:ilvl w:val="1"/>
          <w:numId w:val="6"/>
        </w:numPr>
      </w:pPr>
      <w:r>
        <w:t>Wide range of antenna arrangements supported, from existing antenna installation to massive multi-antenna installations with 100s of antenna elements</w:t>
      </w:r>
      <w:r w:rsidR="00E96D51">
        <w:t xml:space="preserve">, </w:t>
      </w:r>
      <w:r w:rsidR="00E96D51" w:rsidRPr="00E96D51">
        <w:t>digital/analog beamforming</w:t>
      </w:r>
    </w:p>
    <w:p w:rsidR="0012759D" w:rsidRDefault="0012759D" w:rsidP="00796E2D">
      <w:pPr>
        <w:pStyle w:val="BodyText"/>
        <w:numPr>
          <w:ilvl w:val="1"/>
          <w:numId w:val="6"/>
        </w:numPr>
      </w:pPr>
      <w:r>
        <w:t xml:space="preserve">Possibility to </w:t>
      </w:r>
      <w:proofErr w:type="spellStart"/>
      <w:r w:rsidRPr="0012759D">
        <w:rPr>
          <w:b/>
        </w:rPr>
        <w:t>beamform</w:t>
      </w:r>
      <w:proofErr w:type="spellEnd"/>
      <w:r w:rsidRPr="0012759D">
        <w:rPr>
          <w:b/>
        </w:rPr>
        <w:t xml:space="preserve"> control signaling</w:t>
      </w:r>
      <w:r>
        <w:t xml:space="preserve"> </w:t>
      </w:r>
      <w:r>
        <w:rPr>
          <w:b/>
        </w:rPr>
        <w:fldChar w:fldCharType="begin"/>
      </w:r>
      <w:r>
        <w:instrText xml:space="preserve"> REF _Ref446447034 \r \h </w:instrText>
      </w:r>
      <w:r>
        <w:rPr>
          <w:b/>
        </w:rPr>
      </w:r>
      <w:r>
        <w:rPr>
          <w:b/>
        </w:rPr>
        <w:fldChar w:fldCharType="separate"/>
      </w:r>
      <w:r>
        <w:t>[8]</w:t>
      </w:r>
      <w:r>
        <w:rPr>
          <w:b/>
        </w:rPr>
        <w:fldChar w:fldCharType="end"/>
      </w:r>
    </w:p>
    <w:p w:rsidR="00000000" w:rsidRPr="00E96D51" w:rsidRDefault="001D6E44" w:rsidP="00E96D51">
      <w:pPr>
        <w:pStyle w:val="BodyText"/>
        <w:numPr>
          <w:ilvl w:val="1"/>
          <w:numId w:val="6"/>
        </w:numPr>
      </w:pPr>
      <w:r w:rsidRPr="00E96D51">
        <w:t xml:space="preserve">Support for coherent channel </w:t>
      </w:r>
      <w:r w:rsidRPr="00E96D51">
        <w:rPr>
          <w:b/>
          <w:bCs/>
        </w:rPr>
        <w:t>reciprocity</w:t>
      </w:r>
      <w:r w:rsidRPr="00E96D51">
        <w:t xml:space="preserve"> based operation</w:t>
      </w:r>
    </w:p>
    <w:p w:rsidR="00000000" w:rsidRPr="00E96D51" w:rsidRDefault="001D6E44" w:rsidP="00E96D51">
      <w:pPr>
        <w:pStyle w:val="BodyText"/>
        <w:numPr>
          <w:ilvl w:val="1"/>
          <w:numId w:val="6"/>
        </w:numPr>
      </w:pPr>
      <w:r w:rsidRPr="00E96D51">
        <w:t xml:space="preserve">Possibility for </w:t>
      </w:r>
      <w:r w:rsidRPr="00E96D51">
        <w:rPr>
          <w:b/>
          <w:bCs/>
        </w:rPr>
        <w:t>UE side beamforming</w:t>
      </w:r>
    </w:p>
    <w:p w:rsidR="00000000" w:rsidRPr="00E96D51" w:rsidRDefault="001D6E44" w:rsidP="00E96D51">
      <w:pPr>
        <w:pStyle w:val="BodyText"/>
        <w:numPr>
          <w:ilvl w:val="1"/>
          <w:numId w:val="6"/>
        </w:numPr>
      </w:pPr>
      <w:r w:rsidRPr="00E96D51">
        <w:lastRenderedPageBreak/>
        <w:t xml:space="preserve">Strive for a single, </w:t>
      </w:r>
      <w:r w:rsidRPr="00E96D51">
        <w:rPr>
          <w:b/>
          <w:bCs/>
        </w:rPr>
        <w:t xml:space="preserve">uniform CSI </w:t>
      </w:r>
      <w:r w:rsidR="00E96D51">
        <w:rPr>
          <w:b/>
          <w:bCs/>
        </w:rPr>
        <w:t xml:space="preserve">measurement and feedback </w:t>
      </w:r>
      <w:r w:rsidRPr="00E96D51">
        <w:rPr>
          <w:b/>
          <w:bCs/>
        </w:rPr>
        <w:t>framework</w:t>
      </w:r>
    </w:p>
    <w:p w:rsidR="00E015AC" w:rsidRDefault="00E015AC" w:rsidP="00E96D51">
      <w:pPr>
        <w:pStyle w:val="BodyText"/>
        <w:ind w:left="1080"/>
      </w:pPr>
    </w:p>
    <w:p w:rsidR="006A3AAE" w:rsidRPr="006A3AAE" w:rsidRDefault="006A3AAE" w:rsidP="00AA4097">
      <w:pPr>
        <w:pStyle w:val="BodyText"/>
        <w:numPr>
          <w:ilvl w:val="0"/>
          <w:numId w:val="6"/>
        </w:numPr>
        <w:rPr>
          <w:b/>
        </w:rPr>
      </w:pPr>
      <w:r w:rsidRPr="006A3AAE">
        <w:rPr>
          <w:b/>
        </w:rPr>
        <w:t>Unlicensed spectrum</w:t>
      </w:r>
    </w:p>
    <w:p w:rsidR="006A3AAE" w:rsidRPr="006A3AAE" w:rsidRDefault="006A3AAE" w:rsidP="006A3AAE">
      <w:pPr>
        <w:pStyle w:val="BodyText"/>
        <w:numPr>
          <w:ilvl w:val="1"/>
          <w:numId w:val="6"/>
        </w:numPr>
      </w:pPr>
      <w:r>
        <w:t>Licensed spectrum will remain the backbone of the new 5G RAT but unlicensed spectrum will serve as an important complement. The mechanism required for supporting unlicensed spectrum, e.g. LBT</w:t>
      </w:r>
      <w:proofErr w:type="gramStart"/>
      <w:r>
        <w:t>,  needs</w:t>
      </w:r>
      <w:proofErr w:type="gramEnd"/>
      <w:r>
        <w:t xml:space="preserve"> to be taken into account from the beginning </w:t>
      </w:r>
      <w:r>
        <w:fldChar w:fldCharType="begin"/>
      </w:r>
      <w:r>
        <w:instrText xml:space="preserve"> REF _Ref446588162 \r \h </w:instrText>
      </w:r>
      <w:r>
        <w:fldChar w:fldCharType="separate"/>
      </w:r>
      <w:r>
        <w:t>[14]</w:t>
      </w:r>
      <w:r>
        <w:fldChar w:fldCharType="end"/>
      </w:r>
      <w:r>
        <w:t>.</w:t>
      </w:r>
    </w:p>
    <w:p w:rsidR="00AA4097" w:rsidRPr="007763D0" w:rsidRDefault="00AA4097" w:rsidP="00AA4097">
      <w:pPr>
        <w:pStyle w:val="BodyText"/>
        <w:numPr>
          <w:ilvl w:val="0"/>
          <w:numId w:val="6"/>
        </w:numPr>
      </w:pPr>
      <w:proofErr w:type="spellStart"/>
      <w:r>
        <w:rPr>
          <w:b/>
        </w:rPr>
        <w:t>Sidelinks</w:t>
      </w:r>
      <w:proofErr w:type="spellEnd"/>
      <w:r>
        <w:rPr>
          <w:b/>
        </w:rPr>
        <w:t xml:space="preserve"> </w:t>
      </w:r>
      <w:r w:rsidRPr="00AA4097">
        <w:fldChar w:fldCharType="begin"/>
      </w:r>
      <w:r w:rsidRPr="00AA4097">
        <w:instrText xml:space="preserve"> REF _Ref446446492 \r \h </w:instrText>
      </w:r>
      <w:r>
        <w:instrText xml:space="preserve"> \* MERGEFORMAT </w:instrText>
      </w:r>
      <w:r w:rsidRPr="00AA4097">
        <w:fldChar w:fldCharType="separate"/>
      </w:r>
      <w:r w:rsidRPr="00AA4097">
        <w:t>[11]</w:t>
      </w:r>
      <w:r w:rsidRPr="00AA4097">
        <w:fldChar w:fldCharType="end"/>
      </w:r>
      <w:r w:rsidR="0094191D">
        <w:t xml:space="preserve">, </w:t>
      </w:r>
      <w:r w:rsidRPr="00AA4097">
        <w:rPr>
          <w:b/>
        </w:rPr>
        <w:t>self-</w:t>
      </w:r>
      <w:r>
        <w:rPr>
          <w:b/>
        </w:rPr>
        <w:t>backhauling</w:t>
      </w:r>
      <w:r w:rsidRPr="00AA4097">
        <w:t xml:space="preserve"> </w:t>
      </w:r>
      <w:r w:rsidRPr="00AA4097">
        <w:fldChar w:fldCharType="begin"/>
      </w:r>
      <w:r w:rsidRPr="00AA4097">
        <w:instrText xml:space="preserve"> REF _Ref446446494 \r \h </w:instrText>
      </w:r>
      <w:r>
        <w:instrText xml:space="preserve"> \* MERGEFORMAT </w:instrText>
      </w:r>
      <w:r w:rsidRPr="00AA4097">
        <w:fldChar w:fldCharType="separate"/>
      </w:r>
      <w:r w:rsidRPr="00AA4097">
        <w:t>[12]</w:t>
      </w:r>
      <w:r w:rsidRPr="00AA4097">
        <w:fldChar w:fldCharType="end"/>
      </w:r>
      <w:r w:rsidR="0094191D">
        <w:t xml:space="preserve">, and </w:t>
      </w:r>
      <w:r w:rsidR="0094191D">
        <w:rPr>
          <w:b/>
        </w:rPr>
        <w:t>positioning</w:t>
      </w:r>
      <w:r w:rsidR="0094191D" w:rsidRPr="0094191D">
        <w:t xml:space="preserve"> </w:t>
      </w:r>
      <w:r w:rsidR="0094191D" w:rsidRPr="0094191D">
        <w:fldChar w:fldCharType="begin"/>
      </w:r>
      <w:r w:rsidR="0094191D" w:rsidRPr="0094191D">
        <w:instrText xml:space="preserve"> REF _Ref446450451 \r \h </w:instrText>
      </w:r>
      <w:r w:rsidR="0094191D">
        <w:instrText xml:space="preserve"> \* MERGEFORMAT </w:instrText>
      </w:r>
      <w:r w:rsidR="0094191D" w:rsidRPr="0094191D">
        <w:fldChar w:fldCharType="separate"/>
      </w:r>
      <w:r w:rsidR="0094191D" w:rsidRPr="0094191D">
        <w:t>[13]</w:t>
      </w:r>
      <w:r w:rsidR="0094191D" w:rsidRPr="0094191D">
        <w:fldChar w:fldCharType="end"/>
      </w:r>
      <w:r w:rsidR="0094191D">
        <w:t xml:space="preserve"> are</w:t>
      </w:r>
      <w:r>
        <w:rPr>
          <w:b/>
        </w:rPr>
        <w:t xml:space="preserve"> </w:t>
      </w:r>
      <w:r>
        <w:t xml:space="preserve">natively supported in later releases but </w:t>
      </w:r>
      <w:r w:rsidR="0094191D">
        <w:t xml:space="preserve">it is </w:t>
      </w:r>
      <w:r>
        <w:t>important to take the requirements into account already from start as part of forward compatibility.</w:t>
      </w:r>
    </w:p>
    <w:p w:rsidR="00FE5799" w:rsidRDefault="00FE5799" w:rsidP="00FE5799">
      <w:pPr>
        <w:pStyle w:val="Heading1"/>
      </w:pPr>
      <w:r>
        <w:t>Conclusion</w:t>
      </w:r>
    </w:p>
    <w:p w:rsidR="00FD43FF" w:rsidRPr="00FD43FF" w:rsidRDefault="00420802" w:rsidP="00FD43FF">
      <w:pPr>
        <w:pStyle w:val="BodyText"/>
      </w:pPr>
      <w:r>
        <w:t>It is proposed to adopt the characteristic above and document them in the RAN1 TR.</w:t>
      </w:r>
    </w:p>
    <w:p w:rsidR="007763D0" w:rsidRPr="00510266" w:rsidRDefault="007763D0" w:rsidP="007763D0">
      <w:pPr>
        <w:pStyle w:val="Heading1"/>
      </w:pPr>
      <w:r w:rsidRPr="00510266">
        <w:t>References</w:t>
      </w:r>
    </w:p>
    <w:p w:rsidR="007763D0" w:rsidRPr="006155E6" w:rsidRDefault="00E96D51" w:rsidP="007763D0">
      <w:pPr>
        <w:numPr>
          <w:ilvl w:val="0"/>
          <w:numId w:val="2"/>
        </w:numPr>
        <w:jc w:val="both"/>
        <w:rPr>
          <w:szCs w:val="20"/>
          <w:lang w:val="it-IT"/>
        </w:rPr>
      </w:pPr>
      <w:r>
        <w:t>R1-163217</w:t>
      </w:r>
      <w:r w:rsidR="006155E6">
        <w:t>, “On forward compatibility”, Ericsson</w:t>
      </w:r>
    </w:p>
    <w:p w:rsidR="006155E6" w:rsidRPr="007E7784" w:rsidRDefault="006155E6" w:rsidP="007763D0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3" w:name="_Ref446442932"/>
      <w:r>
        <w:t>RP-16</w:t>
      </w:r>
      <w:bookmarkEnd w:id="3"/>
      <w:r w:rsidR="00484629">
        <w:t>0671</w:t>
      </w:r>
    </w:p>
    <w:p w:rsidR="007E7784" w:rsidRPr="00796E2D" w:rsidRDefault="00E96D51" w:rsidP="007763D0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4" w:name="_Ref446443145"/>
      <w:r>
        <w:t>R1-163227</w:t>
      </w:r>
      <w:r w:rsidR="007E7784">
        <w:t xml:space="preserve">, </w:t>
      </w:r>
      <w:r>
        <w:t>“Numerology for NR”, Ericsson</w:t>
      </w:r>
      <w:bookmarkEnd w:id="4"/>
    </w:p>
    <w:p w:rsidR="00796E2D" w:rsidRPr="00484629" w:rsidRDefault="00E96D51" w:rsidP="0099757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5" w:name="_Ref446444298"/>
      <w:r>
        <w:t>R1-163226</w:t>
      </w:r>
      <w:r w:rsidR="00796E2D">
        <w:t xml:space="preserve">, </w:t>
      </w:r>
      <w:bookmarkEnd w:id="5"/>
      <w:r w:rsidR="00997579">
        <w:t>“</w:t>
      </w:r>
      <w:r w:rsidR="00997579" w:rsidRPr="00997579">
        <w:t xml:space="preserve">Frame structure for </w:t>
      </w:r>
      <w:r>
        <w:t>NR</w:t>
      </w:r>
      <w:r w:rsidR="00997579">
        <w:t>”, Ericsson</w:t>
      </w:r>
    </w:p>
    <w:p w:rsidR="00484629" w:rsidRDefault="00E96D51" w:rsidP="00484629">
      <w:pPr>
        <w:numPr>
          <w:ilvl w:val="0"/>
          <w:numId w:val="2"/>
        </w:numPr>
        <w:jc w:val="both"/>
        <w:rPr>
          <w:szCs w:val="20"/>
          <w:lang w:val="it-IT"/>
        </w:rPr>
      </w:pPr>
      <w:r>
        <w:rPr>
          <w:szCs w:val="20"/>
          <w:lang w:val="it-IT"/>
        </w:rPr>
        <w:t>R1-163231</w:t>
      </w:r>
      <w:r w:rsidR="00484629">
        <w:rPr>
          <w:szCs w:val="20"/>
          <w:lang w:val="it-IT"/>
        </w:rPr>
        <w:t>, “</w:t>
      </w:r>
      <w:r w:rsidR="00484629" w:rsidRPr="00484629">
        <w:rPr>
          <w:szCs w:val="20"/>
          <w:lang w:val="it-IT"/>
        </w:rPr>
        <w:t xml:space="preserve">On channel coding for </w:t>
      </w:r>
      <w:r>
        <w:rPr>
          <w:szCs w:val="20"/>
          <w:lang w:val="it-IT"/>
        </w:rPr>
        <w:t>NR</w:t>
      </w:r>
      <w:r w:rsidR="00484629">
        <w:rPr>
          <w:szCs w:val="20"/>
          <w:lang w:val="it-IT"/>
        </w:rPr>
        <w:t>”, Ericsson</w:t>
      </w:r>
    </w:p>
    <w:p w:rsidR="006109AF" w:rsidRDefault="00E96D51" w:rsidP="006109AF">
      <w:pPr>
        <w:numPr>
          <w:ilvl w:val="0"/>
          <w:numId w:val="2"/>
        </w:numPr>
        <w:jc w:val="both"/>
        <w:rPr>
          <w:szCs w:val="20"/>
          <w:lang w:val="it-IT"/>
        </w:rPr>
      </w:pPr>
      <w:r>
        <w:rPr>
          <w:szCs w:val="20"/>
          <w:lang w:val="it-IT"/>
        </w:rPr>
        <w:t>R1-163219</w:t>
      </w:r>
      <w:r w:rsidR="006109AF">
        <w:rPr>
          <w:szCs w:val="20"/>
          <w:lang w:val="it-IT"/>
        </w:rPr>
        <w:t>, “</w:t>
      </w:r>
      <w:r w:rsidR="006109AF" w:rsidRPr="006109AF">
        <w:rPr>
          <w:szCs w:val="20"/>
          <w:lang w:val="it-IT"/>
        </w:rPr>
        <w:t xml:space="preserve">On sidelink support </w:t>
      </w:r>
      <w:r>
        <w:rPr>
          <w:szCs w:val="20"/>
          <w:lang w:val="it-IT"/>
        </w:rPr>
        <w:t>in NR</w:t>
      </w:r>
      <w:r w:rsidR="006109AF">
        <w:rPr>
          <w:szCs w:val="20"/>
          <w:lang w:val="it-IT"/>
        </w:rPr>
        <w:t>”, Ericsson</w:t>
      </w:r>
    </w:p>
    <w:p w:rsidR="00997579" w:rsidRDefault="00E96D51" w:rsidP="0099757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6" w:name="_Ref446446825"/>
      <w:r>
        <w:rPr>
          <w:szCs w:val="20"/>
          <w:lang w:val="it-IT"/>
        </w:rPr>
        <w:t>R1-163225</w:t>
      </w:r>
      <w:r w:rsidR="00997579">
        <w:rPr>
          <w:szCs w:val="20"/>
          <w:lang w:val="it-IT"/>
        </w:rPr>
        <w:t>, “</w:t>
      </w:r>
      <w:r w:rsidR="00997579" w:rsidRPr="00997579">
        <w:rPr>
          <w:szCs w:val="20"/>
          <w:lang w:val="it-IT"/>
        </w:rPr>
        <w:t xml:space="preserve">Duplex scheme for </w:t>
      </w:r>
      <w:r>
        <w:rPr>
          <w:szCs w:val="20"/>
          <w:lang w:val="it-IT"/>
        </w:rPr>
        <w:t>NR</w:t>
      </w:r>
      <w:r w:rsidR="00997579">
        <w:rPr>
          <w:szCs w:val="20"/>
          <w:lang w:val="it-IT"/>
        </w:rPr>
        <w:t>”, Ericsson</w:t>
      </w:r>
      <w:bookmarkEnd w:id="6"/>
    </w:p>
    <w:p w:rsidR="00997579" w:rsidRDefault="00E96D51" w:rsidP="0099757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7" w:name="_Ref446447034"/>
      <w:r>
        <w:rPr>
          <w:szCs w:val="20"/>
          <w:lang w:val="it-IT"/>
        </w:rPr>
        <w:t>R1-163234</w:t>
      </w:r>
      <w:r w:rsidR="00997579">
        <w:rPr>
          <w:szCs w:val="20"/>
          <w:lang w:val="it-IT"/>
        </w:rPr>
        <w:t>, “</w:t>
      </w:r>
      <w:r w:rsidR="00997579" w:rsidRPr="00997579">
        <w:rPr>
          <w:szCs w:val="20"/>
          <w:lang w:val="it-IT"/>
        </w:rPr>
        <w:t>Downlink control signaling</w:t>
      </w:r>
      <w:r>
        <w:rPr>
          <w:szCs w:val="20"/>
          <w:lang w:val="it-IT"/>
        </w:rPr>
        <w:t xml:space="preserve"> in NR</w:t>
      </w:r>
      <w:r w:rsidR="00997579">
        <w:rPr>
          <w:szCs w:val="20"/>
          <w:lang w:val="it-IT"/>
        </w:rPr>
        <w:t>”, Ericsson</w:t>
      </w:r>
      <w:bookmarkEnd w:id="7"/>
    </w:p>
    <w:p w:rsidR="00997579" w:rsidRDefault="00E96D51" w:rsidP="00997579">
      <w:pPr>
        <w:numPr>
          <w:ilvl w:val="0"/>
          <w:numId w:val="2"/>
        </w:numPr>
        <w:jc w:val="both"/>
        <w:rPr>
          <w:szCs w:val="20"/>
          <w:lang w:val="it-IT"/>
        </w:rPr>
      </w:pPr>
      <w:r>
        <w:rPr>
          <w:szCs w:val="20"/>
          <w:lang w:val="it-IT"/>
        </w:rPr>
        <w:t>R1-163233</w:t>
      </w:r>
      <w:r w:rsidR="00997579">
        <w:rPr>
          <w:szCs w:val="20"/>
          <w:lang w:val="it-IT"/>
        </w:rPr>
        <w:t>, “</w:t>
      </w:r>
      <w:r w:rsidR="00997579" w:rsidRPr="00997579">
        <w:rPr>
          <w:szCs w:val="20"/>
          <w:lang w:val="it-IT"/>
        </w:rPr>
        <w:t xml:space="preserve">On modulation schemes for </w:t>
      </w:r>
      <w:r>
        <w:rPr>
          <w:szCs w:val="20"/>
          <w:lang w:val="it-IT"/>
        </w:rPr>
        <w:t>NR</w:t>
      </w:r>
      <w:r w:rsidR="00997579">
        <w:rPr>
          <w:szCs w:val="20"/>
          <w:lang w:val="it-IT"/>
        </w:rPr>
        <w:t>”, Ericsson</w:t>
      </w:r>
    </w:p>
    <w:p w:rsidR="00997579" w:rsidRDefault="00E96D51" w:rsidP="0099757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8" w:name="_Ref446445985"/>
      <w:r>
        <w:rPr>
          <w:szCs w:val="20"/>
          <w:lang w:val="it-IT"/>
        </w:rPr>
        <w:t>R1-163229</w:t>
      </w:r>
      <w:r w:rsidR="00997579">
        <w:rPr>
          <w:szCs w:val="20"/>
          <w:lang w:val="it-IT"/>
        </w:rPr>
        <w:t>, “</w:t>
      </w:r>
      <w:r w:rsidR="00997579" w:rsidRPr="00997579">
        <w:rPr>
          <w:szCs w:val="20"/>
          <w:lang w:val="it-IT"/>
        </w:rPr>
        <w:t xml:space="preserve">Hybrid-ARQ acknowledgements for </w:t>
      </w:r>
      <w:r>
        <w:rPr>
          <w:szCs w:val="20"/>
          <w:lang w:val="it-IT"/>
        </w:rPr>
        <w:t>NR</w:t>
      </w:r>
      <w:r w:rsidR="00997579">
        <w:rPr>
          <w:szCs w:val="20"/>
          <w:lang w:val="it-IT"/>
        </w:rPr>
        <w:t>”, Ericsson</w:t>
      </w:r>
      <w:bookmarkEnd w:id="8"/>
    </w:p>
    <w:p w:rsidR="00AA4097" w:rsidRDefault="00E96D51" w:rsidP="0099757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9" w:name="_Ref446446492"/>
      <w:r>
        <w:rPr>
          <w:szCs w:val="20"/>
          <w:lang w:val="it-IT"/>
        </w:rPr>
        <w:t>R1-163219</w:t>
      </w:r>
      <w:bookmarkEnd w:id="9"/>
      <w:r>
        <w:rPr>
          <w:szCs w:val="20"/>
          <w:lang w:val="it-IT"/>
        </w:rPr>
        <w:t>, “</w:t>
      </w:r>
      <w:r w:rsidRPr="006109AF">
        <w:rPr>
          <w:szCs w:val="20"/>
          <w:lang w:val="it-IT"/>
        </w:rPr>
        <w:t xml:space="preserve">On sidelink support </w:t>
      </w:r>
      <w:r>
        <w:rPr>
          <w:szCs w:val="20"/>
          <w:lang w:val="it-IT"/>
        </w:rPr>
        <w:t>in NR”, Ericsson</w:t>
      </w:r>
    </w:p>
    <w:p w:rsidR="00AA4097" w:rsidRDefault="00E96D51" w:rsidP="0099757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10" w:name="_Ref446446494"/>
      <w:r>
        <w:rPr>
          <w:szCs w:val="20"/>
          <w:lang w:val="it-IT"/>
        </w:rPr>
        <w:t>R1-163220</w:t>
      </w:r>
      <w:r w:rsidR="00AA4097">
        <w:rPr>
          <w:szCs w:val="20"/>
          <w:lang w:val="it-IT"/>
        </w:rPr>
        <w:t xml:space="preserve">, </w:t>
      </w:r>
      <w:r>
        <w:rPr>
          <w:szCs w:val="20"/>
          <w:lang w:val="it-IT"/>
        </w:rPr>
        <w:t>“Access-integrated backhail”, Ericsson</w:t>
      </w:r>
      <w:bookmarkEnd w:id="10"/>
    </w:p>
    <w:p w:rsidR="0094191D" w:rsidRDefault="00E96D51" w:rsidP="0099757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11" w:name="_Ref446450451"/>
      <w:r>
        <w:rPr>
          <w:szCs w:val="20"/>
          <w:lang w:val="it-IT"/>
        </w:rPr>
        <w:t>R1-163218</w:t>
      </w:r>
      <w:r w:rsidR="0094191D">
        <w:rPr>
          <w:szCs w:val="20"/>
          <w:lang w:val="it-IT"/>
        </w:rPr>
        <w:t xml:space="preserve">, </w:t>
      </w:r>
      <w:r>
        <w:rPr>
          <w:szCs w:val="20"/>
          <w:lang w:val="it-IT"/>
        </w:rPr>
        <w:t xml:space="preserve">“On </w:t>
      </w:r>
      <w:r w:rsidR="0094191D">
        <w:rPr>
          <w:szCs w:val="20"/>
          <w:lang w:val="it-IT"/>
        </w:rPr>
        <w:t>positioning</w:t>
      </w:r>
      <w:bookmarkEnd w:id="11"/>
      <w:r>
        <w:rPr>
          <w:szCs w:val="20"/>
          <w:lang w:val="it-IT"/>
        </w:rPr>
        <w:t xml:space="preserve"> requirements for NR”, Ericsson</w:t>
      </w:r>
    </w:p>
    <w:p w:rsidR="006A3AAE" w:rsidRPr="00461DD9" w:rsidRDefault="00E96D51" w:rsidP="00997579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12" w:name="_Ref446588162"/>
      <w:r>
        <w:rPr>
          <w:szCs w:val="20"/>
          <w:lang w:val="it-IT"/>
        </w:rPr>
        <w:t>R1-163243</w:t>
      </w:r>
      <w:r w:rsidR="006A3AAE">
        <w:rPr>
          <w:szCs w:val="20"/>
          <w:lang w:val="it-IT"/>
        </w:rPr>
        <w:t>,</w:t>
      </w:r>
      <w:r>
        <w:rPr>
          <w:szCs w:val="20"/>
          <w:lang w:val="it-IT"/>
        </w:rPr>
        <w:t xml:space="preserve"> “ Supporting</w:t>
      </w:r>
      <w:r w:rsidR="006A3AAE">
        <w:rPr>
          <w:szCs w:val="20"/>
          <w:lang w:val="it-IT"/>
        </w:rPr>
        <w:t xml:space="preserve"> unlicensed</w:t>
      </w:r>
      <w:bookmarkEnd w:id="12"/>
      <w:r>
        <w:rPr>
          <w:szCs w:val="20"/>
          <w:lang w:val="it-IT"/>
        </w:rPr>
        <w:t xml:space="preserve"> operation in NR”, Ericsson</w:t>
      </w:r>
      <w:bookmarkStart w:id="13" w:name="_GoBack"/>
      <w:bookmarkEnd w:id="13"/>
    </w:p>
    <w:p w:rsidR="00BA2CDD" w:rsidRPr="00461DD9" w:rsidRDefault="00BA2CDD" w:rsidP="00BA2CDD">
      <w:pPr>
        <w:jc w:val="both"/>
        <w:rPr>
          <w:szCs w:val="20"/>
          <w:lang w:val="it-IT"/>
        </w:rPr>
      </w:pPr>
    </w:p>
    <w:sectPr w:rsidR="00BA2CDD" w:rsidRPr="00461D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E44" w:rsidRDefault="001D6E44">
      <w:r>
        <w:separator/>
      </w:r>
    </w:p>
  </w:endnote>
  <w:endnote w:type="continuationSeparator" w:id="0">
    <w:p w:rsidR="001D6E44" w:rsidRDefault="001D6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E44" w:rsidRDefault="001D6E44">
      <w:r>
        <w:separator/>
      </w:r>
    </w:p>
  </w:footnote>
  <w:footnote w:type="continuationSeparator" w:id="0">
    <w:p w:rsidR="001D6E44" w:rsidRDefault="001D6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1D6E44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E1A"/>
    <w:multiLevelType w:val="hybridMultilevel"/>
    <w:tmpl w:val="3AA66F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D6629"/>
    <w:multiLevelType w:val="hybridMultilevel"/>
    <w:tmpl w:val="FCD2AA04"/>
    <w:lvl w:ilvl="0" w:tplc="08AE77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FD068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9627E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176D0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F3E71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0DE36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8B2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5EC18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E26B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A258F"/>
    <w:rsid w:val="00112E18"/>
    <w:rsid w:val="0012759D"/>
    <w:rsid w:val="00141448"/>
    <w:rsid w:val="001D6E44"/>
    <w:rsid w:val="001D736A"/>
    <w:rsid w:val="0021013F"/>
    <w:rsid w:val="00290099"/>
    <w:rsid w:val="002D12C7"/>
    <w:rsid w:val="002F602E"/>
    <w:rsid w:val="003875A3"/>
    <w:rsid w:val="003A52AB"/>
    <w:rsid w:val="003E4CC9"/>
    <w:rsid w:val="00420802"/>
    <w:rsid w:val="00484629"/>
    <w:rsid w:val="00487009"/>
    <w:rsid w:val="006109AF"/>
    <w:rsid w:val="006155E6"/>
    <w:rsid w:val="006A286A"/>
    <w:rsid w:val="006A3AAE"/>
    <w:rsid w:val="007763D0"/>
    <w:rsid w:val="00796E2D"/>
    <w:rsid w:val="007A2B77"/>
    <w:rsid w:val="007B0BAB"/>
    <w:rsid w:val="007D25DF"/>
    <w:rsid w:val="007E7784"/>
    <w:rsid w:val="00827A02"/>
    <w:rsid w:val="00834DE7"/>
    <w:rsid w:val="008A7666"/>
    <w:rsid w:val="00927E65"/>
    <w:rsid w:val="0094191D"/>
    <w:rsid w:val="00997579"/>
    <w:rsid w:val="009A6BB8"/>
    <w:rsid w:val="009B0608"/>
    <w:rsid w:val="009B2E48"/>
    <w:rsid w:val="00A5145A"/>
    <w:rsid w:val="00A81AA1"/>
    <w:rsid w:val="00AA13EF"/>
    <w:rsid w:val="00AA4097"/>
    <w:rsid w:val="00AC5CB7"/>
    <w:rsid w:val="00B368D9"/>
    <w:rsid w:val="00BA2CDD"/>
    <w:rsid w:val="00BA44CC"/>
    <w:rsid w:val="00BC2D6A"/>
    <w:rsid w:val="00C1560A"/>
    <w:rsid w:val="00C61496"/>
    <w:rsid w:val="00C91398"/>
    <w:rsid w:val="00C93774"/>
    <w:rsid w:val="00CE28B2"/>
    <w:rsid w:val="00CF67BE"/>
    <w:rsid w:val="00D03119"/>
    <w:rsid w:val="00D64311"/>
    <w:rsid w:val="00D7691A"/>
    <w:rsid w:val="00DA110D"/>
    <w:rsid w:val="00E015AC"/>
    <w:rsid w:val="00E33277"/>
    <w:rsid w:val="00E63D88"/>
    <w:rsid w:val="00E956F8"/>
    <w:rsid w:val="00E96D51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5D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5D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5D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5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5DF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5D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5D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5D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5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5DF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3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475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19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283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687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73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C66D4-067C-4AA3-AB2C-409CF0E41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2016-04-01T10:41:00Z</dcterms:created>
  <dcterms:modified xsi:type="dcterms:W3CDTF">2016-04-01T10:41:00Z</dcterms:modified>
</cp:coreProperties>
</file>